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Restauro e risanamento conservativo (leggero) - CILA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negli interventi edilizi rivolti a conservare l'organismo edilizio e ad assicurarne la funzionalita' mediante un insieme sistematico di opere che, nel rispetto degli elementi tipologici, formali e strutturali dell'organismo stesso, ne consentano destinazioni d'uso.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La Comunicazione di Inizio Lavori Asseverata (c.d. CILA) relativa a lavori di manutenzione straordinaria, inviata dal privato all'amministrazione competente, non e' sottoposta alla valutazione di ammissibilita' da parte della amministrazione stessa a cui residua esclusivamente il potere di controllare la conformita' dell'immobile oggetto della CILA alle prescrizioni vigenti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D.P.R. 380/2001 - Testo Unico delle disposizioni legislative e regolamentari in materia edilizia - D.Lgs. 222/2016 - Individuazione di procedimenti oggetto di autorizzazione, SCIA, silenzio-assenso e comunicazione e di definizione dei regimi amministrativi applicabili a determinate attivita' e procedimenti - Legge regionale - Regolamento Edilizio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Tecnico Manutentiva SETTORE/UNITA' ORGANIZZATIVA 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tecnico@comune.parona.pv.it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venerdi'10.00 - 13.00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Mercoledi': 09.00 / 13.00 - 15.30 / 17.30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Saino Piero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Dal momento che la comunicazione non necessita di autorizzazione, i lavori possono iniziare immediatamente dopo la sua presentazione.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L'inizio dei lavori e la conclusione degli stessi deve obbligatoriamente avvenire entro tre anni dalla presentazione della comunicazione.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Non e' previso alcun provvedimento conclusivo e non si forma il silenzio, residua il controllo in capo all'amministrazione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